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5680"/>
        <w:gridCol w:w="4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17CC">
            <w:pPr>
              <w:pStyle w:val="aff9"/>
            </w:pPr>
          </w:p>
          <w:p w:rsidR="00000000" w:rsidRDefault="006A17CC">
            <w:pPr>
              <w:pStyle w:val="afff2"/>
            </w:pPr>
            <w:hyperlink r:id="rId4" w:history="1">
              <w:r>
                <w:rPr>
                  <w:rStyle w:val="a4"/>
                </w:rPr>
                <w:t>[</w:t>
              </w:r>
            </w:hyperlink>
            <w:hyperlink r:id="rId5" w:history="1">
              <w:r>
                <w:rPr>
                  <w:rStyle w:val="a4"/>
                </w:rPr>
                <w:t>организационно-правовая форма,</w:t>
              </w:r>
              <w:r>
                <w:rPr>
                  <w:rStyle w:val="a4"/>
                </w:rPr>
                <w:br/>
                <w:t>наименование образовательной</w:t>
              </w:r>
              <w:r>
                <w:rPr>
                  <w:rStyle w:val="a4"/>
                </w:rPr>
                <w:br/>
                <w:t>организации</w:t>
              </w:r>
            </w:hyperlink>
            <w:hyperlink r:id="rId6" w:history="1">
              <w:r>
                <w:rPr>
                  <w:rStyle w:val="a4"/>
                </w:rPr>
                <w:t>]</w:t>
              </w:r>
            </w:hyperlink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A17CC">
            <w:pPr>
              <w:pStyle w:val="aff9"/>
              <w:jc w:val="right"/>
            </w:pPr>
            <w:r>
              <w:t>Утверждаю</w:t>
            </w:r>
          </w:p>
          <w:p w:rsidR="00000000" w:rsidRDefault="006A17CC">
            <w:pPr>
              <w:pStyle w:val="afff2"/>
            </w:pPr>
            <w:r>
              <w:t>[</w:t>
            </w:r>
            <w:r>
              <w:rPr>
                <w:rStyle w:val="a3"/>
              </w:rPr>
              <w:t>должность, подпись, Ф. И. О.</w:t>
            </w:r>
            <w:r>
              <w:rPr>
                <w:rStyle w:val="a3"/>
              </w:rPr>
              <w:br/>
              <w:t xml:space="preserve">руководителя или иного должностного </w:t>
            </w:r>
            <w:r>
              <w:rPr>
                <w:rStyle w:val="a3"/>
              </w:rPr>
              <w:br/>
              <w:t>лица, уполномоченного утверждать</w:t>
            </w:r>
            <w:r>
              <w:rPr>
                <w:rStyle w:val="a3"/>
              </w:rPr>
              <w:br/>
              <w:t>должностную инструкцию</w:t>
            </w:r>
            <w:r>
              <w:t>]</w:t>
            </w:r>
          </w:p>
          <w:p w:rsidR="00000000" w:rsidRDefault="006A17CC">
            <w:pPr>
              <w:pStyle w:val="aff9"/>
              <w:jc w:val="center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  <w:p w:rsidR="00000000" w:rsidRDefault="006A17CC">
            <w:pPr>
              <w:pStyle w:val="aff9"/>
              <w:jc w:val="center"/>
            </w:pPr>
            <w:r>
              <w:t>М. П.</w:t>
            </w:r>
          </w:p>
        </w:tc>
      </w:tr>
    </w:tbl>
    <w:p w:rsidR="00000000" w:rsidRDefault="006A17CC"/>
    <w:p w:rsidR="00000000" w:rsidRDefault="006A17CC">
      <w:pPr>
        <w:pStyle w:val="1"/>
      </w:pPr>
      <w:r>
        <w:t>Должно</w:t>
      </w:r>
      <w:r>
        <w:t>стная инструкция</w:t>
      </w:r>
      <w:r>
        <w:br/>
        <w:t>педагога-организатора</w:t>
      </w:r>
    </w:p>
    <w:p w:rsidR="00000000" w:rsidRDefault="006A17CC"/>
    <w:p w:rsidR="00000000" w:rsidRDefault="006A17CC">
      <w:pPr>
        <w:ind w:firstLine="698"/>
        <w:jc w:val="center"/>
      </w:pPr>
      <w:r>
        <w:t>[</w:t>
      </w:r>
      <w:r>
        <w:rPr>
          <w:rStyle w:val="a3"/>
        </w:rPr>
        <w:t>наименование образовательной организации</w:t>
      </w:r>
      <w:r>
        <w:t>]</w:t>
      </w:r>
    </w:p>
    <w:p w:rsidR="00000000" w:rsidRDefault="006A17C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A17C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по теме: "Должностные инструкции руководителей, специалистов, работников и порядок </w:t>
      </w:r>
      <w:r>
        <w:t xml:space="preserve">их составления" и </w:t>
      </w:r>
      <w:hyperlink r:id="rId8" w:history="1">
        <w:r>
          <w:rPr>
            <w:rStyle w:val="a4"/>
          </w:rPr>
          <w:t>Список</w:t>
        </w:r>
      </w:hyperlink>
      <w:r>
        <w:t xml:space="preserve"> должностных инструкций по подразделениям предприятия и отраслям деятельности</w:t>
      </w:r>
    </w:p>
    <w:p w:rsidR="00000000" w:rsidRDefault="006A17CC">
      <w:r>
        <w:t>Настоящая должностная инструкция разработана и утверждена в соответствии с положения</w:t>
      </w:r>
      <w:r>
        <w:t xml:space="preserve">ми </w:t>
      </w:r>
      <w:hyperlink r:id="rId9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</w:t>
      </w:r>
      <w:r>
        <w:t xml:space="preserve"> в Российской Федерации", </w:t>
      </w:r>
      <w:hyperlink r:id="rId11" w:history="1">
        <w:r>
          <w:rPr>
            <w:rStyle w:val="a4"/>
          </w:rPr>
          <w:t>приказа</w:t>
        </w:r>
      </w:hyperlink>
      <w:r>
        <w:t xml:space="preserve"> Министерства труда и социальной защиты РФ от 8 сентября 2015 г. N 613н "Об утверждении профессионального стандарта "Педагог дополнительного образования</w:t>
      </w:r>
      <w:r>
        <w:t xml:space="preserve"> детей и взрослых" и иных нормативно-правовых актов, регулирующих трудовые правоотношения.</w:t>
      </w:r>
    </w:p>
    <w:p w:rsidR="00000000" w:rsidRDefault="006A17CC"/>
    <w:p w:rsidR="00000000" w:rsidRDefault="006A17CC">
      <w:pPr>
        <w:pStyle w:val="1"/>
      </w:pPr>
      <w:bookmarkStart w:id="0" w:name="sub_100"/>
      <w:r>
        <w:t>1. Общие положения</w:t>
      </w:r>
    </w:p>
    <w:bookmarkEnd w:id="0"/>
    <w:p w:rsidR="00000000" w:rsidRDefault="006A17CC"/>
    <w:p w:rsidR="00000000" w:rsidRDefault="006A17CC">
      <w:bookmarkStart w:id="1" w:name="sub_11"/>
      <w:r>
        <w:t>1.1. Педагог-организатор относится к категории педагогических работников и непосредственно подчиняется [</w:t>
      </w:r>
      <w:r>
        <w:rPr>
          <w:rStyle w:val="a3"/>
        </w:rPr>
        <w:t>наименование должнос</w:t>
      </w:r>
      <w:r>
        <w:rPr>
          <w:rStyle w:val="a3"/>
        </w:rPr>
        <w:t>ти руководителя</w:t>
      </w:r>
      <w:r>
        <w:t>].</w:t>
      </w:r>
    </w:p>
    <w:p w:rsidR="00000000" w:rsidRDefault="006A17CC">
      <w:bookmarkStart w:id="2" w:name="sub_12"/>
      <w:bookmarkEnd w:id="1"/>
      <w:r>
        <w:t>1.2. Педагог-организатор назначается на должность и освобождается от нее приказом [</w:t>
      </w:r>
      <w:r>
        <w:rPr>
          <w:rStyle w:val="a3"/>
        </w:rPr>
        <w:t>наименование должности</w:t>
      </w:r>
      <w:r>
        <w:t>].</w:t>
      </w:r>
    </w:p>
    <w:p w:rsidR="00000000" w:rsidRDefault="006A17CC">
      <w:bookmarkStart w:id="3" w:name="sub_13"/>
      <w:bookmarkEnd w:id="2"/>
      <w:r>
        <w:t xml:space="preserve">1.3. Требования к квалификации: высшее образование - </w:t>
      </w:r>
      <w:r>
        <w:t>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взрослых, высшее педагогическое образование - магистратура в области организационно-педагогической деятельно</w:t>
      </w:r>
      <w:r>
        <w:t>сти в дополнительном образовании детей и взрослых, высшее образование - специалитет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</w:t>
      </w:r>
      <w:r>
        <w:t xml:space="preserve"> детей и взрослых [</w:t>
      </w:r>
      <w:r>
        <w:rPr>
          <w:rStyle w:val="a3"/>
        </w:rPr>
        <w:t>и стаж работы педагогом дополнительного образования не менее двух лет при наличии квалификации бакалавра/без предъявления требования к опыту работы при наличии квалификации магистра или специалиста</w:t>
      </w:r>
      <w:r>
        <w:t>].</w:t>
      </w:r>
    </w:p>
    <w:p w:rsidR="00000000" w:rsidRDefault="006A17CC">
      <w:bookmarkStart w:id="4" w:name="sub_14"/>
      <w:bookmarkEnd w:id="3"/>
      <w:r>
        <w:lastRenderedPageBreak/>
        <w:t>1.4. На должность педагог</w:t>
      </w:r>
      <w:r>
        <w:t xml:space="preserve">а-организатора в соответствии с требованиями </w:t>
      </w:r>
      <w:hyperlink r:id="rId12" w:history="1">
        <w:r>
          <w:rPr>
            <w:rStyle w:val="a4"/>
          </w:rPr>
          <w:t>ст. 331</w:t>
        </w:r>
      </w:hyperlink>
      <w:r>
        <w:t xml:space="preserve"> ТК РФ назначается лицо:</w:t>
      </w:r>
    </w:p>
    <w:bookmarkEnd w:id="4"/>
    <w:p w:rsidR="00000000" w:rsidRDefault="006A17CC">
      <w:r>
        <w:t>- не лишенное права заниматься педагогической деятельностью в соответствии с вступившим в законную с</w:t>
      </w:r>
      <w:r>
        <w:t>илу приговором суда;</w:t>
      </w:r>
    </w:p>
    <w:p w:rsidR="00000000" w:rsidRDefault="006A17CC">
      <w:r>
        <w:t>- не имеющее или не имевшее судимости, не подвергавшееся уголовному преследованию (за исключением если уголовное преследование в отношении него прекращено по реабилитирующим основаниям) за преступления против жизни и здоровья, свободы,</w:t>
      </w:r>
      <w:r>
        <w:t xml:space="preserve">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</w:t>
      </w:r>
      <w:r>
        <w:t>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0000" w:rsidRDefault="006A17CC">
      <w:r>
        <w:t xml:space="preserve">- не имеющее неснятой или непогашенной судимости за иные умышленные </w:t>
      </w:r>
      <w:r>
        <w:t>тяжкие и особо тяжкие преступления;</w:t>
      </w:r>
    </w:p>
    <w:p w:rsidR="00000000" w:rsidRDefault="006A17CC">
      <w:r>
        <w:t>- не признанное недееспособным в установленном федеральным законом порядке;</w:t>
      </w:r>
    </w:p>
    <w:p w:rsidR="00000000" w:rsidRDefault="006A17CC">
      <w: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области здравоохранения.</w:t>
      </w:r>
    </w:p>
    <w:p w:rsidR="00000000" w:rsidRDefault="006A17CC">
      <w:bookmarkStart w:id="5" w:name="sub_15"/>
      <w:r>
        <w:t>1.5. Педагог-организатор должен знать:</w:t>
      </w:r>
    </w:p>
    <w:bookmarkEnd w:id="5"/>
    <w:p w:rsidR="00000000" w:rsidRDefault="006A17CC">
      <w:r>
        <w:t>- основные направления досуговой деятельности, особенности организации и проведения массовых досуговых мероприятий;</w:t>
      </w:r>
    </w:p>
    <w:p w:rsidR="00000000" w:rsidRDefault="006A17CC">
      <w:r>
        <w:t>- способы выявления интересов учащихся (для детей - и их родителей (законных представителей)) в области досуговой деятельности;</w:t>
      </w:r>
    </w:p>
    <w:p w:rsidR="00000000" w:rsidRDefault="006A17CC">
      <w:r>
        <w:t>- методы и формы организации деятельности и общения, техники и приемы вовлечения учащихся в деятельность и общение при организац</w:t>
      </w:r>
      <w:r>
        <w:t>ии и проведении досуговых мероприятий;</w:t>
      </w:r>
    </w:p>
    <w:p w:rsidR="00000000" w:rsidRDefault="006A17CC">
      <w:r>
        <w:t xml:space="preserve">-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</w:t>
      </w:r>
      <w:r>
        <w:t>их использование возможно для освоения дополнительной общеобразовательной программы;</w:t>
      </w:r>
    </w:p>
    <w:p w:rsidR="00000000" w:rsidRDefault="006A17CC">
      <w:r>
        <w:t>- техники и приемы общения (слушания, убеждения) с учетом возрастных и индивидуальных особенностей собеседников;</w:t>
      </w:r>
    </w:p>
    <w:p w:rsidR="00000000" w:rsidRDefault="006A17CC">
      <w:r>
        <w:t>- основные подходы и направления работы в области професси</w:t>
      </w:r>
      <w:r>
        <w:t>ональной ориентации, поддержки и сопровождения профессионального самоопределения;</w:t>
      </w:r>
    </w:p>
    <w:p w:rsidR="00000000" w:rsidRDefault="006A17CC">
      <w:r>
        <w:t>-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</w:t>
      </w:r>
      <w:r>
        <w:t>енности образовательной программы и контингента учащихся);</w:t>
      </w:r>
    </w:p>
    <w:p w:rsidR="00000000" w:rsidRDefault="006A17CC">
      <w:r>
        <w:t>-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000000" w:rsidRDefault="006A17CC">
      <w:r>
        <w:lastRenderedPageBreak/>
        <w:t>- меры ответственности за жи</w:t>
      </w:r>
      <w:r>
        <w:t>знь и здоровье учащихся, находящихся под руководством педагогического работника;</w:t>
      </w:r>
    </w:p>
    <w:p w:rsidR="00000000" w:rsidRDefault="006A17CC">
      <w:r>
        <w:t>- нормативно-правовые акты в области защиты прав ребенка, включая международные;</w:t>
      </w:r>
    </w:p>
    <w:p w:rsidR="00000000" w:rsidRDefault="006A17CC">
      <w:r>
        <w:t xml:space="preserve">- законодательство Российской Федерации в части, регламентирующей педагогическую деятельность </w:t>
      </w:r>
      <w:r>
        <w:t>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000000" w:rsidRDefault="006A17CC">
      <w:r>
        <w:t xml:space="preserve">- локальные нормативные акты, регламентирующие </w:t>
      </w:r>
      <w:r>
        <w:t>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00000" w:rsidRDefault="006A17CC">
      <w:r>
        <w:t>- виды внебюджетных средств, источники их поступления</w:t>
      </w:r>
      <w:r>
        <w:t xml:space="preserve"> и направления использования;</w:t>
      </w:r>
    </w:p>
    <w:p w:rsidR="00000000" w:rsidRDefault="006A17CC">
      <w:r>
        <w:t>- перечень и характеристики предлагаемых к освоению дополнительных общеобразовательных программ;</w:t>
      </w:r>
    </w:p>
    <w:p w:rsidR="00000000" w:rsidRDefault="006A17CC">
      <w:r>
        <w:t>- основные правила и технические приемы создания информационно-рекламных материалов (листовок, буклетов, плакатов, баннеров, през</w:t>
      </w:r>
      <w:r>
        <w:t>ентаций) на бумажных и электронных носителях;</w:t>
      </w:r>
    </w:p>
    <w:p w:rsidR="00000000" w:rsidRDefault="006A17CC">
      <w:r>
        <w:t>-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000000" w:rsidRDefault="006A17CC">
      <w:r>
        <w:t>- заинтересованные организации, мотивы их взаимодействия с организациями, ре</w:t>
      </w:r>
      <w:r>
        <w:t>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000000" w:rsidRDefault="006A17CC">
      <w:r>
        <w:t>- техники и приемы вовлечения в деятельность и поддержания интереса к ней;</w:t>
      </w:r>
    </w:p>
    <w:p w:rsidR="00000000" w:rsidRDefault="006A17CC">
      <w:r>
        <w:t>- методы, приемы и сп</w:t>
      </w:r>
      <w:r>
        <w:t>особы формирования благоприятного психологического микроклимата и обеспечения условий для сотрудничества учащихся;</w:t>
      </w:r>
    </w:p>
    <w:p w:rsidR="00000000" w:rsidRDefault="006A17CC">
      <w:r>
        <w:t>- источники, причины, виды и способы разрешения конфликтов;</w:t>
      </w:r>
    </w:p>
    <w:p w:rsidR="00000000" w:rsidRDefault="006A17CC">
      <w:r>
        <w:t>- методологические основ</w:t>
      </w:r>
      <w:r>
        <w:t>ы современного дополнительного образования детей и взрослых;</w:t>
      </w:r>
    </w:p>
    <w:p w:rsidR="00000000" w:rsidRDefault="006A17CC">
      <w:r>
        <w:t>- современные концепции и модели, образовательные технологии дополнительного образования детей и взрослых;</w:t>
      </w:r>
    </w:p>
    <w:p w:rsidR="00000000" w:rsidRDefault="006A17CC">
      <w:r>
        <w:t>- особенности построения компетентностно-ориентированного образовательного процесса;</w:t>
      </w:r>
    </w:p>
    <w:p w:rsidR="00000000" w:rsidRDefault="006A17CC">
      <w:r>
        <w:t>- и</w:t>
      </w:r>
      <w:r>
        <w:t>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000000" w:rsidRDefault="006A17CC">
      <w:r>
        <w:t>- внутренние и внешние (средовые) условия раз</w:t>
      </w:r>
      <w:r>
        <w:t>вития дополнительного образования в организации, осуществляющей образовательную деятельность;</w:t>
      </w:r>
    </w:p>
    <w:p w:rsidR="00000000" w:rsidRDefault="006A17CC">
      <w:r>
        <w:t>-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</w:t>
      </w:r>
      <w:r>
        <w:t xml:space="preserve">ностями здоровья, вопросы индивидуализации </w:t>
      </w:r>
      <w:r>
        <w:lastRenderedPageBreak/>
        <w:t>обучения;</w:t>
      </w:r>
    </w:p>
    <w:p w:rsidR="00000000" w:rsidRDefault="006A17CC">
      <w:r>
        <w:t>- стадии профессионального развития педагогов;</w:t>
      </w:r>
    </w:p>
    <w:p w:rsidR="00000000" w:rsidRDefault="006A17CC">
      <w:r>
        <w:t>- правила слушания, ведения беседы, убеждения, приемы привлечения внимания, структурирования информации, преодоления барьеров общения, логику и правила пост</w:t>
      </w:r>
      <w:r>
        <w:t>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000000" w:rsidRDefault="006A17CC">
      <w:r>
        <w:t xml:space="preserve">- основы </w:t>
      </w:r>
      <w:hyperlink r:id="rId13" w:history="1">
        <w:r>
          <w:rPr>
            <w:rStyle w:val="a4"/>
          </w:rPr>
          <w:t>трудового законодательства</w:t>
        </w:r>
      </w:hyperlink>
      <w:r>
        <w:t>;</w:t>
      </w:r>
    </w:p>
    <w:p w:rsidR="00000000" w:rsidRDefault="006A17CC">
      <w:r>
        <w:t>- правила внутреннего трудового распорядка образовательной организации;</w:t>
      </w:r>
    </w:p>
    <w:p w:rsidR="00000000" w:rsidRDefault="006A17CC">
      <w:r>
        <w:t>- правила по охране труда и пожарной безопасности.</w:t>
      </w:r>
    </w:p>
    <w:p w:rsidR="00000000" w:rsidRDefault="006A17CC">
      <w:bookmarkStart w:id="6" w:name="sub_16"/>
      <w:r>
        <w:t>1.6. Педагогу-организатору запрещается:</w:t>
      </w:r>
    </w:p>
    <w:bookmarkEnd w:id="6"/>
    <w:p w:rsidR="00000000" w:rsidRDefault="006A17CC">
      <w:r>
        <w:t>- оказывать платные образовательные ус</w:t>
      </w:r>
      <w:r>
        <w:t>луги обучающимся в данной организации, если это приводит к конфликту интересов педагога дополнительного образования;</w:t>
      </w:r>
    </w:p>
    <w:p w:rsidR="00000000" w:rsidRDefault="006A17CC">
      <w:r>
        <w:t>- использовать образовательную деятельность для политической агитации, принуждения обучающихся к принятию политических, религиозных или ины</w:t>
      </w:r>
      <w:r>
        <w:t>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</w:t>
      </w:r>
      <w:r>
        <w:t>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</w:t>
      </w:r>
      <w:r>
        <w:t xml:space="preserve">ащим </w:t>
      </w:r>
      <w:hyperlink r:id="rId14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6A17CC"/>
    <w:p w:rsidR="00000000" w:rsidRDefault="006A17CC">
      <w:pPr>
        <w:pStyle w:val="1"/>
      </w:pPr>
      <w:bookmarkStart w:id="7" w:name="sub_200"/>
      <w:r>
        <w:t>2. Должностные обязанности</w:t>
      </w:r>
    </w:p>
    <w:bookmarkEnd w:id="7"/>
    <w:p w:rsidR="00000000" w:rsidRDefault="006A17CC"/>
    <w:p w:rsidR="00000000" w:rsidRDefault="006A17CC">
      <w:r>
        <w:t>На педагога-организатора возлагаются следующие должностные обязанности:</w:t>
      </w:r>
    </w:p>
    <w:p w:rsidR="00000000" w:rsidRDefault="006A17CC">
      <w:bookmarkStart w:id="8" w:name="sub_21"/>
      <w:r>
        <w:t>2.1. Планирование массовы</w:t>
      </w:r>
      <w:r>
        <w:t>х досуговых мероприятий.</w:t>
      </w:r>
    </w:p>
    <w:p w:rsidR="00000000" w:rsidRDefault="006A17CC">
      <w:bookmarkStart w:id="9" w:name="sub_22"/>
      <w:bookmarkEnd w:id="8"/>
      <w:r>
        <w:t>2.2. Разработка сценариев досуговых мероприятий, в том числе конкурсов, олимпиад, соревнований, выставок.</w:t>
      </w:r>
    </w:p>
    <w:p w:rsidR="00000000" w:rsidRDefault="006A17CC">
      <w:bookmarkStart w:id="10" w:name="sub_23"/>
      <w:bookmarkEnd w:id="9"/>
      <w:r>
        <w:t>2.3. Осуществление документационного обеспечения проведения досуговых мероприятий.</w:t>
      </w:r>
    </w:p>
    <w:p w:rsidR="00000000" w:rsidRDefault="006A17CC">
      <w:bookmarkStart w:id="11" w:name="sub_24"/>
      <w:bookmarkEnd w:id="10"/>
      <w:r>
        <w:t>2.4. П</w:t>
      </w:r>
      <w:r>
        <w:t>ланирование подготовки мероприятий.</w:t>
      </w:r>
    </w:p>
    <w:p w:rsidR="00000000" w:rsidRDefault="006A17CC">
      <w:bookmarkStart w:id="12" w:name="sub_25"/>
      <w:bookmarkEnd w:id="11"/>
      <w:r>
        <w:t>2.5. Организация подготовки мероприятий.</w:t>
      </w:r>
    </w:p>
    <w:p w:rsidR="00000000" w:rsidRDefault="006A17CC">
      <w:bookmarkStart w:id="13" w:name="sub_26"/>
      <w:bookmarkEnd w:id="12"/>
      <w:r>
        <w:t>2.6. Проведение массовых досуговых мероприятий.</w:t>
      </w:r>
    </w:p>
    <w:p w:rsidR="00000000" w:rsidRDefault="006A17CC">
      <w:bookmarkStart w:id="14" w:name="sub_27"/>
      <w:bookmarkEnd w:id="13"/>
      <w:r>
        <w:t>2.7. Анализ организации досуговой деятельности и отдельных мероприятий.</w:t>
      </w:r>
    </w:p>
    <w:p w:rsidR="00000000" w:rsidRDefault="006A17CC">
      <w:bookmarkStart w:id="15" w:name="sub_28"/>
      <w:bookmarkEnd w:id="14"/>
      <w:r>
        <w:t>2.8. Планир</w:t>
      </w:r>
      <w:r>
        <w:t>ование, организация и проведение мероприятий для привлечения и сохранения контингента учащихся различного возраста.</w:t>
      </w:r>
    </w:p>
    <w:p w:rsidR="00000000" w:rsidRDefault="006A17CC">
      <w:bookmarkStart w:id="16" w:name="sub_29"/>
      <w:bookmarkEnd w:id="15"/>
      <w:r>
        <w:t>2.9. Организация набора и комплектования групп учащихся.</w:t>
      </w:r>
    </w:p>
    <w:p w:rsidR="00000000" w:rsidRDefault="006A17CC">
      <w:bookmarkStart w:id="17" w:name="sub_210"/>
      <w:bookmarkEnd w:id="16"/>
      <w:r>
        <w:t>2.10. Взаимодействие с органами власти, выполняющими функц</w:t>
      </w:r>
      <w:r>
        <w:t xml:space="preserve">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</w:t>
      </w:r>
      <w:r>
        <w:lastRenderedPageBreak/>
        <w:t>массовых досуговых мероприятий.</w:t>
      </w:r>
    </w:p>
    <w:p w:rsidR="00000000" w:rsidRDefault="006A17CC">
      <w:bookmarkStart w:id="18" w:name="sub_211"/>
      <w:bookmarkEnd w:id="17"/>
      <w:r>
        <w:t>2.11. Анализ внутренних и внешних (средовых) условий развития дополнительного образования в организации, осуществляющей образовательную деятельность.</w:t>
      </w:r>
    </w:p>
    <w:p w:rsidR="00000000" w:rsidRDefault="006A17CC">
      <w:bookmarkStart w:id="19" w:name="sub_212"/>
      <w:bookmarkEnd w:id="18"/>
      <w:r>
        <w:t>2.12. 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организации.</w:t>
      </w:r>
    </w:p>
    <w:p w:rsidR="00000000" w:rsidRDefault="006A17CC">
      <w:bookmarkStart w:id="20" w:name="sub_213"/>
      <w:bookmarkEnd w:id="19"/>
      <w:r>
        <w:t>2.13. Координация и контрол</w:t>
      </w:r>
      <w:r>
        <w:t>ь работы педагогов и объединений детей и школьников в организации, осуществляющей образовательную деятельность.</w:t>
      </w:r>
    </w:p>
    <w:p w:rsidR="00000000" w:rsidRDefault="006A17CC">
      <w:bookmarkStart w:id="21" w:name="sub_214"/>
      <w:bookmarkEnd w:id="20"/>
      <w:r>
        <w:t>2.14. Планирование и организация совместно с методистом методической работы и повышения квалификации педагогов организации, осущес</w:t>
      </w:r>
      <w:r>
        <w:t>твляющей образовательную деятельность.</w:t>
      </w:r>
    </w:p>
    <w:p w:rsidR="00000000" w:rsidRDefault="006A17CC">
      <w:bookmarkStart w:id="22" w:name="sub_215"/>
      <w:bookmarkEnd w:id="21"/>
      <w:r>
        <w:t>2.15. Анализ процесса и результатов реализации программ дополнительного образования организацией, осуществляющей образовательную деятельность.</w:t>
      </w:r>
    </w:p>
    <w:p w:rsidR="00000000" w:rsidRDefault="006A17CC">
      <w:bookmarkStart w:id="23" w:name="sub_216"/>
      <w:bookmarkEnd w:id="22"/>
      <w:r>
        <w:t>2.16. [</w:t>
      </w:r>
      <w:r>
        <w:rPr>
          <w:rStyle w:val="a3"/>
        </w:rPr>
        <w:t>Другие должностные обязанности</w:t>
      </w:r>
      <w:r>
        <w:t>].</w:t>
      </w:r>
    </w:p>
    <w:bookmarkEnd w:id="23"/>
    <w:p w:rsidR="00000000" w:rsidRDefault="006A17CC"/>
    <w:p w:rsidR="00000000" w:rsidRDefault="006A17CC">
      <w:pPr>
        <w:pStyle w:val="1"/>
      </w:pPr>
      <w:bookmarkStart w:id="24" w:name="sub_300"/>
      <w:r>
        <w:t>3. Права</w:t>
      </w:r>
    </w:p>
    <w:bookmarkEnd w:id="24"/>
    <w:p w:rsidR="00000000" w:rsidRDefault="006A17CC"/>
    <w:p w:rsidR="00000000" w:rsidRDefault="006A17CC">
      <w:r>
        <w:t>Педагог-организатор имеет право:</w:t>
      </w:r>
    </w:p>
    <w:p w:rsidR="00000000" w:rsidRDefault="006A17CC">
      <w:bookmarkStart w:id="25" w:name="sub_31"/>
      <w:r>
        <w:t xml:space="preserve">3.1. На все предусмотренные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социальные гарантии, в том числе:</w:t>
      </w:r>
    </w:p>
    <w:bookmarkEnd w:id="25"/>
    <w:p w:rsidR="00000000" w:rsidRDefault="006A17CC">
      <w:r>
        <w:t>- на ежего</w:t>
      </w:r>
      <w:r>
        <w:t>дный основной удлиненный оплачиваемый отпуск;</w:t>
      </w:r>
    </w:p>
    <w:p w:rsidR="00000000" w:rsidRDefault="006A17CC">
      <w: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</w:t>
      </w:r>
      <w:r>
        <w:t>ния.</w:t>
      </w:r>
    </w:p>
    <w:p w:rsidR="00000000" w:rsidRDefault="006A17CC">
      <w:bookmarkStart w:id="26" w:name="sub_32"/>
      <w:r>
        <w:t>3.2. Знакомиться с проектами решений руководства, касающимися его деятельности.</w:t>
      </w:r>
    </w:p>
    <w:p w:rsidR="00000000" w:rsidRDefault="006A17CC">
      <w:bookmarkStart w:id="27" w:name="sub_33"/>
      <w:bookmarkEnd w:id="26"/>
      <w:r>
        <w:t>3.3.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</w:t>
      </w:r>
      <w:r>
        <w:t>ю методов работы, а также варианты устранения имеющихся в деятельности организации недостатков.</w:t>
      </w:r>
    </w:p>
    <w:p w:rsidR="00000000" w:rsidRDefault="006A17CC">
      <w:bookmarkStart w:id="28" w:name="sub_34"/>
      <w:bookmarkEnd w:id="27"/>
      <w:r>
        <w:t>3.4. Запрашивать лично или по поручению руководства от структурных подразделений и специалистов информацию и документы, необходимые для выполнения с</w:t>
      </w:r>
      <w:r>
        <w:t>воих должностных обязанностей.</w:t>
      </w:r>
    </w:p>
    <w:p w:rsidR="00000000" w:rsidRDefault="006A17CC">
      <w:bookmarkStart w:id="29" w:name="sub_35"/>
      <w:bookmarkEnd w:id="28"/>
      <w:r>
        <w:t>3.5.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руководства).</w:t>
      </w:r>
    </w:p>
    <w:p w:rsidR="00000000" w:rsidRDefault="006A17CC">
      <w:bookmarkStart w:id="30" w:name="sub_36"/>
      <w:bookmarkEnd w:id="29"/>
      <w:r>
        <w:t>3.6.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000000" w:rsidRDefault="006A17CC">
      <w:bookmarkStart w:id="31" w:name="sub_37"/>
      <w:bookmarkEnd w:id="30"/>
      <w:r>
        <w:t>3.7. [</w:t>
      </w:r>
      <w:r>
        <w:rPr>
          <w:rStyle w:val="a3"/>
        </w:rPr>
        <w:t xml:space="preserve">Иные права, предусмотренные </w:t>
      </w:r>
      <w:hyperlink r:id="rId16" w:history="1">
        <w:r>
          <w:rPr>
            <w:rStyle w:val="a4"/>
          </w:rPr>
          <w:t>трудовым законодательством</w:t>
        </w:r>
      </w:hyperlink>
      <w:r>
        <w:rPr>
          <w:rStyle w:val="a3"/>
        </w:rPr>
        <w:t xml:space="preserve"> Российской Федерации</w:t>
      </w:r>
      <w:r>
        <w:t>].</w:t>
      </w:r>
    </w:p>
    <w:bookmarkEnd w:id="31"/>
    <w:p w:rsidR="00000000" w:rsidRDefault="006A17CC"/>
    <w:p w:rsidR="00000000" w:rsidRDefault="006A17CC">
      <w:pPr>
        <w:pStyle w:val="1"/>
      </w:pPr>
      <w:bookmarkStart w:id="32" w:name="sub_400"/>
      <w:r>
        <w:t>4. Ответственность</w:t>
      </w:r>
    </w:p>
    <w:bookmarkEnd w:id="32"/>
    <w:p w:rsidR="00000000" w:rsidRDefault="006A17CC"/>
    <w:p w:rsidR="00000000" w:rsidRDefault="006A17CC">
      <w:r>
        <w:t>Педагог-организатор несет ответственность:</w:t>
      </w:r>
    </w:p>
    <w:p w:rsidR="00000000" w:rsidRDefault="006A17CC">
      <w:bookmarkStart w:id="33" w:name="sub_41"/>
      <w:r>
        <w:t>4.1. За нарушени</w:t>
      </w:r>
      <w:r>
        <w:t>е устава образовательной организации.</w:t>
      </w:r>
    </w:p>
    <w:p w:rsidR="00000000" w:rsidRDefault="006A17CC">
      <w:bookmarkStart w:id="34" w:name="sub_42"/>
      <w:bookmarkEnd w:id="33"/>
      <w:r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000000" w:rsidRDefault="006A17CC">
      <w:bookmarkStart w:id="35" w:name="sub_43"/>
      <w:bookmarkEnd w:id="34"/>
      <w:r>
        <w:t xml:space="preserve">4.3. За ненадлежащее исполнение или неисполнение </w:t>
      </w:r>
      <w:r>
        <w:t xml:space="preserve">своих должностных обязанностей, предусмотренных настоящей должностной инструкцией, - в пределах, определенных </w:t>
      </w:r>
      <w:hyperlink r:id="rId17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Федерации.</w:t>
      </w:r>
    </w:p>
    <w:p w:rsidR="00000000" w:rsidRDefault="006A17CC">
      <w:bookmarkStart w:id="36" w:name="sub_44"/>
      <w:bookmarkEnd w:id="35"/>
      <w:r>
        <w:t>4.4. За прав</w:t>
      </w:r>
      <w:r>
        <w:t xml:space="preserve">онарушения, совершенные в процессе осуществления своей деятельности, - в пределах, определенных </w:t>
      </w:r>
      <w:hyperlink r:id="rId18" w:history="1">
        <w:r>
          <w:rPr>
            <w:rStyle w:val="a4"/>
          </w:rPr>
          <w:t>административным</w:t>
        </w:r>
      </w:hyperlink>
      <w:r>
        <w:t xml:space="preserve">, </w:t>
      </w:r>
      <w:hyperlink r:id="rId19" w:history="1">
        <w:r>
          <w:rPr>
            <w:rStyle w:val="a4"/>
          </w:rPr>
          <w:t>уго</w:t>
        </w:r>
        <w:r>
          <w:rPr>
            <w:rStyle w:val="a4"/>
          </w:rPr>
          <w:t>ловным</w:t>
        </w:r>
      </w:hyperlink>
      <w:r>
        <w:t xml:space="preserve"> и </w:t>
      </w:r>
      <w:hyperlink r:id="rId20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6A17CC">
      <w:bookmarkStart w:id="37" w:name="sub_45"/>
      <w:bookmarkEnd w:id="36"/>
      <w:r>
        <w:t xml:space="preserve">4.5. За причинение материального ущерба - в пределах, определенных </w:t>
      </w:r>
      <w:hyperlink r:id="rId21" w:history="1">
        <w:r>
          <w:rPr>
            <w:rStyle w:val="a4"/>
          </w:rPr>
          <w:t>трудовым</w:t>
        </w:r>
      </w:hyperlink>
      <w:r>
        <w:t xml:space="preserve"> и </w:t>
      </w:r>
      <w:hyperlink r:id="rId2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37"/>
    <w:p w:rsidR="00000000" w:rsidRDefault="006A17CC"/>
    <w:p w:rsidR="00000000" w:rsidRDefault="006A17CC">
      <w:r>
        <w:t>Должностная инструкция разработана в соответствии с [</w:t>
      </w:r>
      <w:r>
        <w:rPr>
          <w:rStyle w:val="a3"/>
        </w:rPr>
        <w:t>наименование, номер и дата документа</w:t>
      </w:r>
      <w:r>
        <w:t>].</w:t>
      </w:r>
    </w:p>
    <w:p w:rsidR="00000000" w:rsidRDefault="006A17CC"/>
    <w:p w:rsidR="00000000" w:rsidRDefault="006A17CC">
      <w:r>
        <w:t>Руководитель кадровой службы</w:t>
      </w:r>
    </w:p>
    <w:p w:rsidR="00000000" w:rsidRDefault="006A17CC"/>
    <w:p w:rsidR="00000000" w:rsidRDefault="006A17CC">
      <w:r>
        <w:t>[</w:t>
      </w:r>
      <w:r>
        <w:rPr>
          <w:rStyle w:val="a3"/>
        </w:rPr>
        <w:t>инициалы, фамилия, подпись</w:t>
      </w:r>
      <w:r>
        <w:t>]</w:t>
      </w:r>
    </w:p>
    <w:p w:rsidR="00000000" w:rsidRDefault="006A17CC"/>
    <w:p w:rsidR="00000000" w:rsidRDefault="006A17CC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6A17CC"/>
    <w:p w:rsidR="00000000" w:rsidRDefault="006A17CC">
      <w:r>
        <w:t>Согласовано:</w:t>
      </w:r>
    </w:p>
    <w:p w:rsidR="00000000" w:rsidRDefault="006A17CC"/>
    <w:p w:rsidR="00000000" w:rsidRDefault="006A17CC">
      <w:r>
        <w:t>[</w:t>
      </w:r>
      <w:r>
        <w:rPr>
          <w:rStyle w:val="a3"/>
        </w:rPr>
        <w:t>должность, инициалы, фамилия, подпись</w:t>
      </w:r>
      <w:r>
        <w:t>]</w:t>
      </w:r>
    </w:p>
    <w:p w:rsidR="00000000" w:rsidRDefault="006A17CC"/>
    <w:p w:rsidR="00000000" w:rsidRDefault="006A17CC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6A17CC"/>
    <w:p w:rsidR="00000000" w:rsidRDefault="006A17CC">
      <w:r>
        <w:t>С инструкцией ознакомлен:</w:t>
      </w:r>
    </w:p>
    <w:p w:rsidR="00000000" w:rsidRDefault="006A17CC"/>
    <w:p w:rsidR="00000000" w:rsidRDefault="006A17CC">
      <w:r>
        <w:t>[</w:t>
      </w:r>
      <w:r>
        <w:rPr>
          <w:rStyle w:val="a3"/>
        </w:rPr>
        <w:t>инициалы, фамилия, подпись</w:t>
      </w:r>
      <w:r>
        <w:t>]</w:t>
      </w:r>
    </w:p>
    <w:p w:rsidR="00000000" w:rsidRDefault="006A17CC"/>
    <w:p w:rsidR="00000000" w:rsidRDefault="006A17CC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6A17C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7CC"/>
    <w:rsid w:val="006A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6035453&amp;sub=0" TargetMode="External"/><Relationship Id="rId13" Type="http://schemas.openxmlformats.org/officeDocument/2006/relationships/hyperlink" Target="http://www.internet.garant.ru/document?id=12025268&amp;sub=5" TargetMode="External"/><Relationship Id="rId18" Type="http://schemas.openxmlformats.org/officeDocument/2006/relationships/hyperlink" Target="http://www.internet.garant.ru/document?id=1202526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rnet.garant.ru/document?id=12025268&amp;sub=1039" TargetMode="External"/><Relationship Id="rId7" Type="http://schemas.openxmlformats.org/officeDocument/2006/relationships/hyperlink" Target="http://www.internet.garant.ru/document?id=3839704&amp;sub=0" TargetMode="External"/><Relationship Id="rId12" Type="http://schemas.openxmlformats.org/officeDocument/2006/relationships/hyperlink" Target="http://www.internet.garant.ru/document?id=12025268&amp;sub=331" TargetMode="External"/><Relationship Id="rId17" Type="http://schemas.openxmlformats.org/officeDocument/2006/relationships/hyperlink" Target="http://www.internet.garant.ru/document?id=12025268&amp;sub=1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.garant.ru/document?id=12025268&amp;sub=21" TargetMode="External"/><Relationship Id="rId20" Type="http://schemas.openxmlformats.org/officeDocument/2006/relationships/hyperlink" Target="http://www.internet.garant.ru/document?id=1006407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55628315&amp;sub=0" TargetMode="External"/><Relationship Id="rId11" Type="http://schemas.openxmlformats.org/officeDocument/2006/relationships/hyperlink" Target="http://www.internet.garant.ru/document?id=71102914&amp;sub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ternet.garant.ru/document?id=55628315&amp;sub=0" TargetMode="External"/><Relationship Id="rId15" Type="http://schemas.openxmlformats.org/officeDocument/2006/relationships/hyperlink" Target="http://www.internet.garant.ru/document?id=12025268&amp;sub=7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rnet.garant.ru/document?id=70191362&amp;sub=0" TargetMode="External"/><Relationship Id="rId19" Type="http://schemas.openxmlformats.org/officeDocument/2006/relationships/hyperlink" Target="http://www.internet.garant.ru/document?id=10008000&amp;sub=0" TargetMode="External"/><Relationship Id="rId4" Type="http://schemas.openxmlformats.org/officeDocument/2006/relationships/hyperlink" Target="http://www.internet.garant.ru/document?id=55628315&amp;sub=0" TargetMode="External"/><Relationship Id="rId9" Type="http://schemas.openxmlformats.org/officeDocument/2006/relationships/hyperlink" Target="http://www.internet.garant.ru/document?id=12025268&amp;sub=300000" TargetMode="External"/><Relationship Id="rId14" Type="http://schemas.openxmlformats.org/officeDocument/2006/relationships/hyperlink" Target="http://www.internet.garant.ru/document?id=10003000&amp;sub=0" TargetMode="External"/><Relationship Id="rId22" Type="http://schemas.openxmlformats.org/officeDocument/2006/relationships/hyperlink" Target="http://www.internet.garant.ru/document?id=10064072&amp;sub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13175</Characters>
  <Application>Microsoft Office Word</Application>
  <DocSecurity>0</DocSecurity>
  <Lines>109</Lines>
  <Paragraphs>29</Paragraphs>
  <ScaleCrop>false</ScaleCrop>
  <Company>НПП "Гарант-Сервис"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2</cp:revision>
  <dcterms:created xsi:type="dcterms:W3CDTF">2017-03-02T12:43:00Z</dcterms:created>
  <dcterms:modified xsi:type="dcterms:W3CDTF">2017-03-02T12:43:00Z</dcterms:modified>
</cp:coreProperties>
</file>